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C991" w14:textId="77777777" w:rsidR="00E24426" w:rsidRPr="00E24426" w:rsidRDefault="00E24426" w:rsidP="00E24426">
      <w:pPr>
        <w:spacing w:after="75" w:line="240" w:lineRule="auto"/>
        <w:jc w:val="center"/>
        <w:outlineLvl w:val="0"/>
        <w:rPr>
          <w:rFonts w:ascii="Arial" w:eastAsia="Times New Roman" w:hAnsi="Arial" w:cs="Arial"/>
          <w:b/>
          <w:bCs/>
          <w:kern w:val="36"/>
          <w:sz w:val="30"/>
          <w:szCs w:val="30"/>
          <w14:ligatures w14:val="none"/>
        </w:rPr>
      </w:pPr>
      <w:r w:rsidRPr="00E24426">
        <w:rPr>
          <w:rFonts w:ascii="Arial" w:eastAsia="Times New Roman" w:hAnsi="Arial" w:cs="Arial"/>
          <w:b/>
          <w:bCs/>
          <w:kern w:val="36"/>
          <w:sz w:val="30"/>
          <w:szCs w:val="30"/>
          <w14:ligatures w14:val="none"/>
        </w:rPr>
        <w:t>New Federal Reporting Requirement for Beneficial Ownership Information (BOI)</w:t>
      </w:r>
    </w:p>
    <w:p w14:paraId="133BA834"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72B09559"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The Office of the Minnesota Secretary of State is reaching out to make you aware of reporting requirements that go into effect on </w:t>
      </w:r>
      <w:r w:rsidRPr="00E24426">
        <w:rPr>
          <w:rFonts w:ascii="Arial" w:eastAsia="Times New Roman" w:hAnsi="Arial" w:cs="Arial"/>
          <w:b/>
          <w:bCs/>
          <w:color w:val="232323"/>
          <w:kern w:val="0"/>
          <w:sz w:val="20"/>
          <w:szCs w:val="20"/>
          <w14:ligatures w14:val="none"/>
        </w:rPr>
        <w:t>January 1, 2024,</w:t>
      </w:r>
      <w:r w:rsidRPr="00E24426">
        <w:rPr>
          <w:rFonts w:ascii="Arial" w:eastAsia="Times New Roman" w:hAnsi="Arial" w:cs="Arial"/>
          <w:color w:val="232323"/>
          <w:kern w:val="0"/>
          <w:sz w:val="20"/>
          <w:szCs w:val="20"/>
          <w14:ligatures w14:val="none"/>
        </w:rPr>
        <w:t> that may require your business to report its beneficial ownership information to the Federal government. </w:t>
      </w:r>
      <w:r w:rsidRPr="00E24426">
        <w:rPr>
          <w:rFonts w:ascii="Arial" w:eastAsia="Times New Roman" w:hAnsi="Arial" w:cs="Arial"/>
          <w:b/>
          <w:bCs/>
          <w:color w:val="232323"/>
          <w:kern w:val="0"/>
          <w:sz w:val="20"/>
          <w:szCs w:val="20"/>
          <w14:ligatures w14:val="none"/>
        </w:rPr>
        <w:t>You do not need to take any action now.</w:t>
      </w:r>
    </w:p>
    <w:p w14:paraId="7B5E7BF4"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Beginning on January 1, 2024, many companies in the United States will have to report information about their beneficial owners, i.e., the individuals who ultimately own or control the company. They will have to report the information to the </w:t>
      </w:r>
      <w:hyperlink r:id="rId5" w:tgtFrame="_blank" w:tooltip="FinCEN's Website" w:history="1">
        <w:r w:rsidRPr="00E24426">
          <w:rPr>
            <w:rFonts w:ascii="Arial" w:eastAsia="Times New Roman" w:hAnsi="Arial" w:cs="Arial"/>
            <w:color w:val="1D5782"/>
            <w:kern w:val="0"/>
            <w:sz w:val="20"/>
            <w:szCs w:val="20"/>
            <w:u w:val="single"/>
            <w14:ligatures w14:val="none"/>
          </w:rPr>
          <w:t>Financial Crimes Enforcement Network (FinCEN)</w:t>
        </w:r>
      </w:hyperlink>
      <w:r w:rsidRPr="00E24426">
        <w:rPr>
          <w:rFonts w:ascii="Arial" w:eastAsia="Times New Roman" w:hAnsi="Arial" w:cs="Arial"/>
          <w:color w:val="232323"/>
          <w:kern w:val="0"/>
          <w:sz w:val="20"/>
          <w:szCs w:val="20"/>
          <w14:ligatures w14:val="none"/>
        </w:rPr>
        <w:t>. FinCEN is a bureau of the U.S. Department of the Treasury. </w:t>
      </w:r>
    </w:p>
    <w:p w14:paraId="72C62CF5"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b/>
          <w:bCs/>
          <w:color w:val="232323"/>
          <w:kern w:val="0"/>
          <w:sz w:val="20"/>
          <w:szCs w:val="20"/>
          <w14:ligatures w14:val="none"/>
        </w:rPr>
        <w:t>NOTE:</w:t>
      </w:r>
      <w:r w:rsidRPr="00E24426">
        <w:rPr>
          <w:rFonts w:ascii="Arial" w:eastAsia="Times New Roman" w:hAnsi="Arial" w:cs="Arial"/>
          <w:color w:val="232323"/>
          <w:kern w:val="0"/>
          <w:sz w:val="20"/>
          <w:szCs w:val="20"/>
          <w14:ligatures w14:val="none"/>
        </w:rPr>
        <w:t> This will be a </w:t>
      </w:r>
      <w:r w:rsidRPr="00E24426">
        <w:rPr>
          <w:rFonts w:ascii="Arial" w:eastAsia="Times New Roman" w:hAnsi="Arial" w:cs="Arial"/>
          <w:b/>
          <w:bCs/>
          <w:color w:val="232323"/>
          <w:kern w:val="0"/>
          <w:sz w:val="20"/>
          <w:szCs w:val="20"/>
          <w14:ligatures w14:val="none"/>
        </w:rPr>
        <w:t>free</w:t>
      </w:r>
      <w:r w:rsidRPr="00E24426">
        <w:rPr>
          <w:rFonts w:ascii="Arial" w:eastAsia="Times New Roman" w:hAnsi="Arial" w:cs="Arial"/>
          <w:color w:val="232323"/>
          <w:kern w:val="0"/>
          <w:sz w:val="20"/>
          <w:szCs w:val="20"/>
          <w14:ligatures w14:val="none"/>
        </w:rPr>
        <w:t> filing that companies can complete themselves. Be wary of official-looking mail from a third-party company offering to complete the beneficial ownership reporting on behalf of your company for a fee. See below* for more information on mail solicitations, or visit: </w:t>
      </w:r>
      <w:hyperlink r:id="rId6" w:tgtFrame="_blank" w:history="1">
        <w:r w:rsidRPr="00E24426">
          <w:rPr>
            <w:rFonts w:ascii="Arial" w:eastAsia="Times New Roman" w:hAnsi="Arial" w:cs="Arial"/>
            <w:color w:val="1D5782"/>
            <w:kern w:val="0"/>
            <w:sz w:val="20"/>
            <w:szCs w:val="20"/>
            <w:u w:val="single"/>
            <w14:ligatures w14:val="none"/>
          </w:rPr>
          <w:t>www.sos.state.mn.us/business-liens/mail-solicitations/</w:t>
        </w:r>
      </w:hyperlink>
    </w:p>
    <w:p w14:paraId="37B7B3CE"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1D79C8F8"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b/>
          <w:bCs/>
          <w:color w:val="232323"/>
          <w:kern w:val="0"/>
          <w:sz w:val="20"/>
          <w:szCs w:val="20"/>
          <w14:ligatures w14:val="none"/>
        </w:rPr>
        <w:t>All questions should be directed to </w:t>
      </w:r>
      <w:hyperlink r:id="rId7" w:tgtFrame="_blank" w:history="1">
        <w:r w:rsidRPr="00E24426">
          <w:rPr>
            <w:rFonts w:ascii="Arial" w:eastAsia="Times New Roman" w:hAnsi="Arial" w:cs="Arial"/>
            <w:b/>
            <w:bCs/>
            <w:color w:val="1D5782"/>
            <w:kern w:val="0"/>
            <w:sz w:val="20"/>
            <w:szCs w:val="20"/>
            <w:u w:val="single"/>
            <w14:ligatures w14:val="none"/>
          </w:rPr>
          <w:t>FinCEN</w:t>
        </w:r>
      </w:hyperlink>
      <w:r w:rsidRPr="00E24426">
        <w:rPr>
          <w:rFonts w:ascii="Arial" w:eastAsia="Times New Roman" w:hAnsi="Arial" w:cs="Arial"/>
          <w:b/>
          <w:bCs/>
          <w:color w:val="232323"/>
          <w:kern w:val="0"/>
          <w:sz w:val="20"/>
          <w:szCs w:val="20"/>
          <w14:ligatures w14:val="none"/>
        </w:rPr>
        <w:t> and not the Office of the Minnesota Secretary of State. If you have questions, contact FinCEN </w:t>
      </w:r>
      <w:hyperlink r:id="rId8" w:tgtFrame="_blank" w:history="1">
        <w:r w:rsidRPr="00E24426">
          <w:rPr>
            <w:rFonts w:ascii="Arial" w:eastAsia="Times New Roman" w:hAnsi="Arial" w:cs="Arial"/>
            <w:b/>
            <w:bCs/>
            <w:color w:val="1D5782"/>
            <w:kern w:val="0"/>
            <w:sz w:val="20"/>
            <w:szCs w:val="20"/>
            <w:u w:val="single"/>
            <w14:ligatures w14:val="none"/>
          </w:rPr>
          <w:t>here</w:t>
        </w:r>
      </w:hyperlink>
      <w:r w:rsidRPr="00E24426">
        <w:rPr>
          <w:rFonts w:ascii="Arial" w:eastAsia="Times New Roman" w:hAnsi="Arial" w:cs="Arial"/>
          <w:b/>
          <w:bCs/>
          <w:color w:val="232323"/>
          <w:kern w:val="0"/>
          <w:sz w:val="20"/>
          <w:szCs w:val="20"/>
          <w14:ligatures w14:val="none"/>
        </w:rPr>
        <w:t>.</w:t>
      </w:r>
    </w:p>
    <w:p w14:paraId="641F917B"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2A1D0F26" w14:textId="77777777" w:rsidR="00E24426" w:rsidRPr="00E24426" w:rsidRDefault="00E24426" w:rsidP="00E24426">
      <w:pPr>
        <w:spacing w:before="75" w:after="60" w:line="240" w:lineRule="auto"/>
        <w:outlineLvl w:val="1"/>
        <w:rPr>
          <w:rFonts w:ascii="Arial" w:eastAsia="Times New Roman" w:hAnsi="Arial" w:cs="Arial"/>
          <w:b/>
          <w:bCs/>
          <w:kern w:val="0"/>
          <w:sz w:val="26"/>
          <w:szCs w:val="26"/>
          <w14:ligatures w14:val="none"/>
        </w:rPr>
      </w:pPr>
      <w:r w:rsidRPr="00E24426">
        <w:rPr>
          <w:rFonts w:ascii="Arial" w:eastAsia="Times New Roman" w:hAnsi="Arial" w:cs="Arial"/>
          <w:b/>
          <w:bCs/>
          <w:kern w:val="0"/>
          <w:sz w:val="26"/>
          <w:szCs w:val="26"/>
          <w14:ligatures w14:val="none"/>
        </w:rPr>
        <w:t>Do I Need to Report?</w:t>
      </w:r>
    </w:p>
    <w:p w14:paraId="37DAFB1F"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b/>
          <w:bCs/>
          <w:color w:val="232323"/>
          <w:kern w:val="0"/>
          <w:sz w:val="20"/>
          <w:szCs w:val="20"/>
          <w14:ligatures w14:val="none"/>
        </w:rPr>
        <w:t>Most businesses in Minnesota are small businesses that may need to file.</w:t>
      </w:r>
      <w:r w:rsidRPr="00E24426">
        <w:rPr>
          <w:rFonts w:ascii="Arial" w:eastAsia="Times New Roman" w:hAnsi="Arial" w:cs="Arial"/>
          <w:color w:val="232323"/>
          <w:kern w:val="0"/>
          <w:sz w:val="20"/>
          <w:szCs w:val="20"/>
          <w14:ligatures w14:val="none"/>
        </w:rPr>
        <w:t> Your company may need to report information about its beneficial owners if it is:</w:t>
      </w:r>
    </w:p>
    <w:p w14:paraId="66E0B7B1" w14:textId="77777777" w:rsidR="00E24426" w:rsidRPr="00E24426" w:rsidRDefault="00E24426" w:rsidP="00E24426">
      <w:pPr>
        <w:numPr>
          <w:ilvl w:val="0"/>
          <w:numId w:val="1"/>
        </w:numPr>
        <w:spacing w:before="100" w:beforeAutospacing="1" w:after="100" w:afterAutospacing="1" w:line="240" w:lineRule="auto"/>
        <w:ind w:left="945"/>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A corporation, a limited liability company (LLC), or was otherwise created in the United States by filing a document with a secretary of state or any similar office under the law of a state or Indian tribe; or</w:t>
      </w:r>
    </w:p>
    <w:p w14:paraId="55F3DC90" w14:textId="77777777" w:rsidR="00E24426" w:rsidRPr="00E24426" w:rsidRDefault="00E24426" w:rsidP="00E24426">
      <w:pPr>
        <w:numPr>
          <w:ilvl w:val="0"/>
          <w:numId w:val="1"/>
        </w:numPr>
        <w:spacing w:before="100" w:beforeAutospacing="1" w:after="100" w:afterAutospacing="1" w:line="240" w:lineRule="auto"/>
        <w:ind w:left="945"/>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A foreign company and was registered to do business in any U.S. state or Indian tribe by such a filing.</w:t>
      </w:r>
    </w:p>
    <w:p w14:paraId="0761634C"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There are 23 types of entities that are exempt from the beneficial ownership information reporting requirements. FinCEN's </w:t>
      </w:r>
      <w:hyperlink r:id="rId9" w:tgtFrame="_blank" w:history="1">
        <w:r w:rsidRPr="00E24426">
          <w:rPr>
            <w:rFonts w:ascii="Arial" w:eastAsia="Times New Roman" w:hAnsi="Arial" w:cs="Arial"/>
            <w:b/>
            <w:bCs/>
            <w:color w:val="1D5782"/>
            <w:kern w:val="0"/>
            <w:sz w:val="20"/>
            <w:szCs w:val="20"/>
            <w:u w:val="single"/>
            <w14:ligatures w14:val="none"/>
          </w:rPr>
          <w:t>Small Entity Compliance Guide</w:t>
        </w:r>
      </w:hyperlink>
      <w:r w:rsidRPr="00E24426">
        <w:rPr>
          <w:rFonts w:ascii="Arial" w:eastAsia="Times New Roman" w:hAnsi="Arial" w:cs="Arial"/>
          <w:color w:val="232323"/>
          <w:kern w:val="0"/>
          <w:sz w:val="20"/>
          <w:szCs w:val="20"/>
          <w14:ligatures w14:val="none"/>
        </w:rPr>
        <w:t> includes checklists for each of the 23 exemptions that may help determine whether your company qualifies for an exemption. Visit </w:t>
      </w:r>
      <w:hyperlink r:id="rId10" w:tgtFrame="_blank" w:history="1">
        <w:r w:rsidRPr="00E24426">
          <w:rPr>
            <w:rFonts w:ascii="Arial" w:eastAsia="Times New Roman" w:hAnsi="Arial" w:cs="Arial"/>
            <w:color w:val="1D5782"/>
            <w:kern w:val="0"/>
            <w:sz w:val="20"/>
            <w:szCs w:val="20"/>
            <w:u w:val="single"/>
            <w14:ligatures w14:val="none"/>
          </w:rPr>
          <w:t>www.fincen.gov/boi</w:t>
        </w:r>
      </w:hyperlink>
      <w:r w:rsidRPr="00E24426">
        <w:rPr>
          <w:rFonts w:ascii="Arial" w:eastAsia="Times New Roman" w:hAnsi="Arial" w:cs="Arial"/>
          <w:color w:val="232323"/>
          <w:kern w:val="0"/>
          <w:sz w:val="20"/>
          <w:szCs w:val="20"/>
          <w14:ligatures w14:val="none"/>
        </w:rPr>
        <w:t> to access the guide and check if your company is exempt.</w:t>
      </w:r>
    </w:p>
    <w:p w14:paraId="3E2B0C10"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147A9729" w14:textId="77777777" w:rsidR="00E24426" w:rsidRPr="00E24426" w:rsidRDefault="00E24426" w:rsidP="00E24426">
      <w:pPr>
        <w:spacing w:before="75" w:after="60" w:line="240" w:lineRule="auto"/>
        <w:outlineLvl w:val="1"/>
        <w:rPr>
          <w:rFonts w:ascii="Arial" w:eastAsia="Times New Roman" w:hAnsi="Arial" w:cs="Arial"/>
          <w:b/>
          <w:bCs/>
          <w:kern w:val="0"/>
          <w:sz w:val="26"/>
          <w:szCs w:val="26"/>
          <w14:ligatures w14:val="none"/>
        </w:rPr>
      </w:pPr>
      <w:r w:rsidRPr="00E24426">
        <w:rPr>
          <w:rFonts w:ascii="Arial" w:eastAsia="Times New Roman" w:hAnsi="Arial" w:cs="Arial"/>
          <w:b/>
          <w:bCs/>
          <w:kern w:val="0"/>
          <w:sz w:val="26"/>
          <w:szCs w:val="26"/>
          <w14:ligatures w14:val="none"/>
        </w:rPr>
        <w:t>How Do I Report?</w:t>
      </w:r>
    </w:p>
    <w:p w14:paraId="3E05AF1A"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Reporting companies will have to report beneficial ownership information electronically through FinCEN's website: </w:t>
      </w:r>
      <w:hyperlink r:id="rId11" w:tgtFrame="_blank" w:history="1">
        <w:r w:rsidRPr="00E24426">
          <w:rPr>
            <w:rFonts w:ascii="Arial" w:eastAsia="Times New Roman" w:hAnsi="Arial" w:cs="Arial"/>
            <w:color w:val="1D5782"/>
            <w:kern w:val="0"/>
            <w:sz w:val="20"/>
            <w:szCs w:val="20"/>
            <w:u w:val="single"/>
            <w14:ligatures w14:val="none"/>
          </w:rPr>
          <w:t>www.fincen.gov/boi</w:t>
        </w:r>
      </w:hyperlink>
      <w:r w:rsidRPr="00E24426">
        <w:rPr>
          <w:rFonts w:ascii="Arial" w:eastAsia="Times New Roman" w:hAnsi="Arial" w:cs="Arial"/>
          <w:color w:val="232323"/>
          <w:kern w:val="0"/>
          <w:sz w:val="20"/>
          <w:szCs w:val="20"/>
          <w14:ligatures w14:val="none"/>
        </w:rPr>
        <w:t>. </w:t>
      </w:r>
    </w:p>
    <w:p w14:paraId="7B1B3C8D"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5EEEF1B2" w14:textId="77777777" w:rsidR="00E24426" w:rsidRPr="00E24426" w:rsidRDefault="00E24426" w:rsidP="00E24426">
      <w:pPr>
        <w:spacing w:before="75" w:after="60" w:line="240" w:lineRule="auto"/>
        <w:outlineLvl w:val="1"/>
        <w:rPr>
          <w:rFonts w:ascii="Arial" w:eastAsia="Times New Roman" w:hAnsi="Arial" w:cs="Arial"/>
          <w:b/>
          <w:bCs/>
          <w:kern w:val="0"/>
          <w:sz w:val="26"/>
          <w:szCs w:val="26"/>
          <w14:ligatures w14:val="none"/>
        </w:rPr>
      </w:pPr>
      <w:r w:rsidRPr="00E24426">
        <w:rPr>
          <w:rFonts w:ascii="Arial" w:eastAsia="Times New Roman" w:hAnsi="Arial" w:cs="Arial"/>
          <w:b/>
          <w:bCs/>
          <w:kern w:val="0"/>
          <w:sz w:val="26"/>
          <w:szCs w:val="26"/>
          <w14:ligatures w14:val="none"/>
        </w:rPr>
        <w:lastRenderedPageBreak/>
        <w:t>When Do I Report?</w:t>
      </w:r>
    </w:p>
    <w:p w14:paraId="0FBB18E7"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Reports will be accepted starting on January 1, 2024.</w:t>
      </w:r>
    </w:p>
    <w:p w14:paraId="17B7043A" w14:textId="77777777" w:rsidR="00E24426" w:rsidRPr="00E24426" w:rsidRDefault="00E24426" w:rsidP="00E24426">
      <w:pPr>
        <w:numPr>
          <w:ilvl w:val="0"/>
          <w:numId w:val="2"/>
        </w:numPr>
        <w:spacing w:before="100" w:beforeAutospacing="1" w:after="100" w:afterAutospacing="1" w:line="240" w:lineRule="auto"/>
        <w:ind w:left="945"/>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If your company was created or registered before January 1, 2024, you will have until January 1, 2025, to report BOI.</w:t>
      </w:r>
    </w:p>
    <w:p w14:paraId="6329E249" w14:textId="77777777" w:rsidR="00E24426" w:rsidRPr="00E24426" w:rsidRDefault="00E24426" w:rsidP="00E24426">
      <w:pPr>
        <w:numPr>
          <w:ilvl w:val="0"/>
          <w:numId w:val="2"/>
        </w:numPr>
        <w:spacing w:before="100" w:beforeAutospacing="1" w:after="100" w:afterAutospacing="1" w:line="240" w:lineRule="auto"/>
        <w:ind w:left="945"/>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If your company is created or registered on or after January 1, 2024, you must report BOI within 90 days of notice of creation or registration.</w:t>
      </w:r>
    </w:p>
    <w:p w14:paraId="58DAF3B8" w14:textId="77777777" w:rsidR="00E24426" w:rsidRPr="00E24426" w:rsidRDefault="00E24426" w:rsidP="00E24426">
      <w:pPr>
        <w:numPr>
          <w:ilvl w:val="0"/>
          <w:numId w:val="2"/>
        </w:numPr>
        <w:spacing w:before="100" w:beforeAutospacing="1" w:after="100" w:afterAutospacing="1" w:line="240" w:lineRule="auto"/>
        <w:ind w:left="945"/>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Any updates or corrections to beneficial ownership information that you previously filed with FinCEN must be submitted within 30 days.</w:t>
      </w:r>
    </w:p>
    <w:p w14:paraId="62C4B495"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i/>
          <w:iCs/>
          <w:color w:val="232323"/>
          <w:kern w:val="0"/>
          <w:sz w:val="20"/>
          <w:szCs w:val="20"/>
          <w14:ligatures w14:val="none"/>
        </w:rPr>
        <w:t>FinCEN cannot accept reports before January 1, 2024.</w:t>
      </w:r>
    </w:p>
    <w:p w14:paraId="2F5090B2"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For more information, visit </w:t>
      </w:r>
      <w:hyperlink r:id="rId12" w:tgtFrame="_blank" w:tooltip="FinCEN's Website" w:history="1">
        <w:r w:rsidRPr="00E24426">
          <w:rPr>
            <w:rFonts w:ascii="Arial" w:eastAsia="Times New Roman" w:hAnsi="Arial" w:cs="Arial"/>
            <w:b/>
            <w:bCs/>
            <w:color w:val="1D5782"/>
            <w:kern w:val="0"/>
            <w:sz w:val="20"/>
            <w:szCs w:val="20"/>
            <w:u w:val="single"/>
            <w14:ligatures w14:val="none"/>
          </w:rPr>
          <w:t>FinCEN's website</w:t>
        </w:r>
      </w:hyperlink>
      <w:r w:rsidRPr="00E24426">
        <w:rPr>
          <w:rFonts w:ascii="Arial" w:eastAsia="Times New Roman" w:hAnsi="Arial" w:cs="Arial"/>
          <w:color w:val="232323"/>
          <w:kern w:val="0"/>
          <w:sz w:val="20"/>
          <w:szCs w:val="20"/>
          <w14:ligatures w14:val="none"/>
        </w:rPr>
        <w:t>, view FinCEN's </w:t>
      </w:r>
      <w:hyperlink r:id="rId13" w:tgtFrame="_blank" w:history="1">
        <w:r w:rsidRPr="00E24426">
          <w:rPr>
            <w:rFonts w:ascii="Arial" w:eastAsia="Times New Roman" w:hAnsi="Arial" w:cs="Arial"/>
            <w:b/>
            <w:bCs/>
            <w:color w:val="1D5782"/>
            <w:kern w:val="0"/>
            <w:sz w:val="20"/>
            <w:szCs w:val="20"/>
            <w:u w:val="single"/>
            <w14:ligatures w14:val="none"/>
          </w:rPr>
          <w:t>Frequently Asked Questions (FAQs)</w:t>
        </w:r>
      </w:hyperlink>
      <w:r w:rsidRPr="00E24426">
        <w:rPr>
          <w:rFonts w:ascii="Arial" w:eastAsia="Times New Roman" w:hAnsi="Arial" w:cs="Arial"/>
          <w:color w:val="232323"/>
          <w:kern w:val="0"/>
          <w:sz w:val="20"/>
          <w:szCs w:val="20"/>
          <w14:ligatures w14:val="none"/>
        </w:rPr>
        <w:t>, or </w:t>
      </w:r>
      <w:hyperlink r:id="rId14" w:tgtFrame="_blank" w:tooltip="contact FinCEN" w:history="1">
        <w:r w:rsidRPr="00E24426">
          <w:rPr>
            <w:rFonts w:ascii="Arial" w:eastAsia="Times New Roman" w:hAnsi="Arial" w:cs="Arial"/>
            <w:b/>
            <w:bCs/>
            <w:color w:val="1D5782"/>
            <w:kern w:val="0"/>
            <w:sz w:val="20"/>
            <w:szCs w:val="20"/>
            <w:u w:val="single"/>
            <w14:ligatures w14:val="none"/>
          </w:rPr>
          <w:t>contact FinCEN</w:t>
        </w:r>
      </w:hyperlink>
      <w:r w:rsidRPr="00E24426">
        <w:rPr>
          <w:rFonts w:ascii="Arial" w:eastAsia="Times New Roman" w:hAnsi="Arial" w:cs="Arial"/>
          <w:color w:val="232323"/>
          <w:kern w:val="0"/>
          <w:sz w:val="20"/>
          <w:szCs w:val="20"/>
          <w14:ligatures w14:val="none"/>
        </w:rPr>
        <w:t>.</w:t>
      </w:r>
    </w:p>
    <w:p w14:paraId="40CBCAF7"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 </w:t>
      </w:r>
    </w:p>
    <w:p w14:paraId="65363873" w14:textId="77777777" w:rsidR="00E24426" w:rsidRPr="00E24426" w:rsidRDefault="00E24426" w:rsidP="00E24426">
      <w:pPr>
        <w:spacing w:before="75" w:after="60" w:line="240" w:lineRule="auto"/>
        <w:outlineLvl w:val="1"/>
        <w:rPr>
          <w:rFonts w:ascii="Arial" w:eastAsia="Times New Roman" w:hAnsi="Arial" w:cs="Arial"/>
          <w:b/>
          <w:bCs/>
          <w:kern w:val="0"/>
          <w:sz w:val="26"/>
          <w:szCs w:val="26"/>
          <w14:ligatures w14:val="none"/>
        </w:rPr>
      </w:pPr>
      <w:r w:rsidRPr="00E24426">
        <w:rPr>
          <w:rFonts w:ascii="Arial" w:eastAsia="Times New Roman" w:hAnsi="Arial" w:cs="Arial"/>
          <w:b/>
          <w:bCs/>
          <w:kern w:val="0"/>
          <w:sz w:val="26"/>
          <w:szCs w:val="26"/>
          <w14:ligatures w14:val="none"/>
        </w:rPr>
        <w:t>*What You Should Know About Mail Solicitations</w:t>
      </w:r>
    </w:p>
    <w:p w14:paraId="6C2081FF"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The Office of the Minnesota Secretary of State has become aware of mailers sent out to Minnesota businesses that misrepresent our fees for filings such as annual renewals for entities.</w:t>
      </w:r>
    </w:p>
    <w:p w14:paraId="3627F4E5"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Business owners in Minnesota have reported receiving official-looking mail from third-party companies implying that they must pay a fee to complete filings for business renewals or to comply with reporting requirements. Be wary of this mail, as many of the filings can be completed through our office for free or at a lower cost than what is being offered.</w:t>
      </w:r>
    </w:p>
    <w:p w14:paraId="35EAC657"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You can view the actual fees associated with various filings handled by our office </w:t>
      </w:r>
      <w:hyperlink r:id="rId15" w:tgtFrame="_blank" w:tooltip="BUSINESS FILING &amp; CERTIFICATION FEE SCHEDULE" w:history="1">
        <w:r w:rsidRPr="00E24426">
          <w:rPr>
            <w:rFonts w:ascii="Arial" w:eastAsia="Times New Roman" w:hAnsi="Arial" w:cs="Arial"/>
            <w:b/>
            <w:bCs/>
            <w:color w:val="1D5782"/>
            <w:kern w:val="0"/>
            <w:sz w:val="20"/>
            <w:szCs w:val="20"/>
            <w:u w:val="single"/>
            <w14:ligatures w14:val="none"/>
          </w:rPr>
          <w:t>here</w:t>
        </w:r>
      </w:hyperlink>
      <w:r w:rsidRPr="00E24426">
        <w:rPr>
          <w:rFonts w:ascii="Arial" w:eastAsia="Times New Roman" w:hAnsi="Arial" w:cs="Arial"/>
          <w:color w:val="232323"/>
          <w:kern w:val="0"/>
          <w:sz w:val="20"/>
          <w:szCs w:val="20"/>
          <w14:ligatures w14:val="none"/>
        </w:rPr>
        <w:t>.​</w:t>
      </w:r>
    </w:p>
    <w:p w14:paraId="0AC7C695"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b/>
          <w:bCs/>
          <w:color w:val="232323"/>
          <w:kern w:val="0"/>
          <w:sz w:val="20"/>
          <w:szCs w:val="20"/>
          <w14:ligatures w14:val="none"/>
        </w:rPr>
        <w:t>The Minnesota Secretary of State's Office will never send renewal notices or correspondence by mail.</w:t>
      </w:r>
      <w:r w:rsidRPr="00E24426">
        <w:rPr>
          <w:rFonts w:ascii="Arial" w:eastAsia="Times New Roman" w:hAnsi="Arial" w:cs="Arial"/>
          <w:color w:val="232323"/>
          <w:kern w:val="0"/>
          <w:sz w:val="20"/>
          <w:szCs w:val="20"/>
          <w14:ligatures w14:val="none"/>
        </w:rPr>
        <w:t> Our office will only send annual courtesy </w:t>
      </w:r>
      <w:r w:rsidRPr="00E24426">
        <w:rPr>
          <w:rFonts w:ascii="Arial" w:eastAsia="Times New Roman" w:hAnsi="Arial" w:cs="Arial"/>
          <w:b/>
          <w:bCs/>
          <w:color w:val="232323"/>
          <w:kern w:val="0"/>
          <w:sz w:val="20"/>
          <w:szCs w:val="20"/>
          <w14:ligatures w14:val="none"/>
        </w:rPr>
        <w:t>emails</w:t>
      </w:r>
      <w:r w:rsidRPr="00E24426">
        <w:rPr>
          <w:rFonts w:ascii="Arial" w:eastAsia="Times New Roman" w:hAnsi="Arial" w:cs="Arial"/>
          <w:color w:val="232323"/>
          <w:kern w:val="0"/>
          <w:sz w:val="20"/>
          <w:szCs w:val="20"/>
          <w14:ligatures w14:val="none"/>
        </w:rPr>
        <w:t> about renewing your business.</w:t>
      </w:r>
    </w:p>
    <w:p w14:paraId="2D1A06D7"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If you are unsure if an official-looking mailer is legitimate, please contact our office before sending any payment or personal information.</w:t>
      </w:r>
    </w:p>
    <w:p w14:paraId="5A852F3C" w14:textId="77777777" w:rsidR="00E24426" w:rsidRPr="00E24426" w:rsidRDefault="00E24426" w:rsidP="00E24426">
      <w:pPr>
        <w:spacing w:before="100" w:beforeAutospacing="1" w:after="240" w:line="240" w:lineRule="auto"/>
        <w:ind w:left="450"/>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Metro Area: 651-296-2803</w:t>
      </w:r>
    </w:p>
    <w:p w14:paraId="4271F56D" w14:textId="77777777" w:rsidR="00E24426" w:rsidRPr="00E24426" w:rsidRDefault="00E24426" w:rsidP="00E24426">
      <w:pPr>
        <w:spacing w:before="100" w:beforeAutospacing="1" w:after="240" w:line="240" w:lineRule="auto"/>
        <w:ind w:left="450"/>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Greater MN: 1-877-551-6767</w:t>
      </w:r>
    </w:p>
    <w:p w14:paraId="28E12E44" w14:textId="77777777" w:rsidR="00E24426" w:rsidRPr="00E24426" w:rsidRDefault="00E24426" w:rsidP="00E24426">
      <w:pPr>
        <w:spacing w:before="100" w:beforeAutospacing="1" w:after="240" w:line="240" w:lineRule="auto"/>
        <w:ind w:left="450"/>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Email: </w:t>
      </w:r>
      <w:hyperlink r:id="rId16" w:tgtFrame="_blank" w:history="1">
        <w:r w:rsidRPr="00E24426">
          <w:rPr>
            <w:rFonts w:ascii="Arial" w:eastAsia="Times New Roman" w:hAnsi="Arial" w:cs="Arial"/>
            <w:color w:val="1D5782"/>
            <w:kern w:val="0"/>
            <w:sz w:val="20"/>
            <w:szCs w:val="20"/>
            <w:u w:val="single"/>
            <w14:ligatures w14:val="none"/>
          </w:rPr>
          <w:t>business.services@state.mn.us</w:t>
        </w:r>
      </w:hyperlink>
    </w:p>
    <w:p w14:paraId="61B8AE1C" w14:textId="77777777" w:rsidR="00E24426" w:rsidRPr="00E24426" w:rsidRDefault="00E24426" w:rsidP="00E24426">
      <w:pPr>
        <w:spacing w:before="100" w:beforeAutospacing="1" w:after="240" w:line="240" w:lineRule="auto"/>
        <w:rPr>
          <w:rFonts w:ascii="Arial" w:eastAsia="Times New Roman" w:hAnsi="Arial" w:cs="Arial"/>
          <w:color w:val="232323"/>
          <w:kern w:val="0"/>
          <w:sz w:val="20"/>
          <w:szCs w:val="20"/>
          <w14:ligatures w14:val="none"/>
        </w:rPr>
      </w:pPr>
      <w:r w:rsidRPr="00E24426">
        <w:rPr>
          <w:rFonts w:ascii="Arial" w:eastAsia="Times New Roman" w:hAnsi="Arial" w:cs="Arial"/>
          <w:color w:val="232323"/>
          <w:kern w:val="0"/>
          <w:sz w:val="20"/>
          <w:szCs w:val="20"/>
          <w14:ligatures w14:val="none"/>
        </w:rPr>
        <w:t>For more information on mail solicitations, visit: </w:t>
      </w:r>
      <w:hyperlink r:id="rId17" w:tgtFrame="_blank" w:history="1">
        <w:r w:rsidRPr="00E24426">
          <w:rPr>
            <w:rFonts w:ascii="Arial" w:eastAsia="Times New Roman" w:hAnsi="Arial" w:cs="Arial"/>
            <w:color w:val="1D5782"/>
            <w:kern w:val="0"/>
            <w:sz w:val="20"/>
            <w:szCs w:val="20"/>
            <w:u w:val="single"/>
            <w14:ligatures w14:val="none"/>
          </w:rPr>
          <w:t>www.sos.state.mn.us/business-liens/mail-solicitations/</w:t>
        </w:r>
      </w:hyperlink>
    </w:p>
    <w:p w14:paraId="34691515" w14:textId="77777777" w:rsidR="001700BD" w:rsidRDefault="001700BD"/>
    <w:sectPr w:rsidR="00170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853"/>
    <w:multiLevelType w:val="multilevel"/>
    <w:tmpl w:val="7F1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E648D"/>
    <w:multiLevelType w:val="multilevel"/>
    <w:tmpl w:val="9342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3013588">
    <w:abstractNumId w:val="1"/>
  </w:num>
  <w:num w:numId="2" w16cid:durableId="83199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6"/>
    <w:rsid w:val="001700BD"/>
    <w:rsid w:val="006C55C7"/>
    <w:rsid w:val="00E2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9C18"/>
  <w15:chartTrackingRefBased/>
  <w15:docId w15:val="{2E5684CC-DE04-4499-A2C8-E3E6B7D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8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3d3LmZpbmNlbi5nb3YvY29udGFjdCIsImJ1bGxldGluX2lkIjoiMjAyMzEyMTQuODcxNjExMDEifQ.tY-hAfTeTos6nH8G-d1c1DiEJlH4-8u4nCHMus4Sgvk/s/230362486/br/233116158433-l" TargetMode="External"/><Relationship Id="rId13" Type="http://schemas.openxmlformats.org/officeDocument/2006/relationships/hyperlink" Target="https://lnks.gd/l/eyJhbGciOiJIUzI1NiJ9.eyJidWxsZXRpbl9saW5rX2lkIjoxMDgsInVyaSI6ImJwMjpjbGljayIsInVybCI6Imh0dHBzOi8vd3d3LmZpbmNlbi5nb3YvYm9pLWZhcXMiLCJidWxsZXRpbl9pZCI6IjIwMjMxMjE0Ljg3MTYxMTAxIn0.ebuqqohyGDL_ofKuLMFU2lLbl917ARsA4kaEWFl4jBc/s/230362486/br/23311615843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nVybCI6Imh0dHBzOi8vd3d3LmZpbmNlbi5nb3YvY29udGFjdCIsImJ1bGxldGluX2lkIjoiMjAyMzEyMTQuODcxNjExMDEifQ.BzC1j_Ml_bXIcLa1KtCb6ZATB9j2RA9BXzrkMp3afdk/s/230362486/br/233116158433-l" TargetMode="External"/><Relationship Id="rId12" Type="http://schemas.openxmlformats.org/officeDocument/2006/relationships/hyperlink" Target="https://lnks.gd/l/eyJhbGciOiJIUzI1NiJ9.eyJidWxsZXRpbl9saW5rX2lkIjoxMDcsInVyaSI6ImJwMjpjbGljayIsInVybCI6Imh0dHBzOi8vd3d3LmZpbmNlbi5nb3YvYm9pIiwiYnVsbGV0aW5faWQiOiIyMDIzMTIxNC44NzE2MTEwMSJ9.UQoYy5i0MoAPdRqSeAuPK4U2c4MfjtIQSGOig0_EP4Y/s/230362486/br/233116158433-l" TargetMode="External"/><Relationship Id="rId17" Type="http://schemas.openxmlformats.org/officeDocument/2006/relationships/hyperlink" Target="https://lnks.gd/l/eyJhbGciOiJIUzI1NiJ9.eyJidWxsZXRpbl9saW5rX2lkIjoxMTEsInVyaSI6ImJwMjpjbGljayIsInVybCI6Imh0dHA6Ly93d3cuc29zLnN0YXRlLm1uLnVzL2J1c2luZXNzLWxpZW5zL21haWwtc29saWNpdGF0aW9ucy8iLCJidWxsZXRpbl9pZCI6IjIwMjMxMjE0Ljg3MTYxMTAxIn0.oIzXV-QX7xrUKSZWTgmdt0hR_nyEM8y2a-fX8rZkuYg/s/230362486/br/233116158433-l" TargetMode="External"/><Relationship Id="rId2" Type="http://schemas.openxmlformats.org/officeDocument/2006/relationships/styles" Target="styles.xml"/><Relationship Id="rId16" Type="http://schemas.openxmlformats.org/officeDocument/2006/relationships/hyperlink" Target="mailto:business.services@state.mn.us"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A6Ly93d3cuc29zLnN0YXRlLm1uLnVzL2J1c2luZXNzLWxpZW5zL21haWwtc29saWNpdGF0aW9ucy8iLCJidWxsZXRpbl9pZCI6IjIwMjMxMjE0Ljg3MTYxMTAxIn0.7LBLX1K_hNltLXkitpvCpZAuFgIURn3pViUwgYnB67Y/s/230362486/br/233116158433-l" TargetMode="External"/><Relationship Id="rId11" Type="http://schemas.openxmlformats.org/officeDocument/2006/relationships/hyperlink" Target="https://lnks.gd/l/eyJhbGciOiJIUzI1NiJ9.eyJidWxsZXRpbl9saW5rX2lkIjoxMDYsInVyaSI6ImJwMjpjbGljayIsInVybCI6Imh0dHBzOi8vd3d3LmZpbmNlbi5nb3YvYm9pIiwiYnVsbGV0aW5faWQiOiIyMDIzMTIxNC44NzE2MTEwMSJ9.wjrm5wRbliPVB6C8WeGRkJhlQHNq_vY9tqToBgk0jKI/s/230362486/br/233116158433-l" TargetMode="External"/><Relationship Id="rId5" Type="http://schemas.openxmlformats.org/officeDocument/2006/relationships/hyperlink" Target="https://lnks.gd/l/eyJhbGciOiJIUzI1NiJ9.eyJidWxsZXRpbl9saW5rX2lkIjoxMDAsInVyaSI6ImJwMjpjbGljayIsInVybCI6Imh0dHBzOi8vd3d3LmZpbmNlbi5nb3YvYm9pIiwiYnVsbGV0aW5faWQiOiIyMDIzMTIxNC44NzE2MTEwMSJ9.2qQtYwHg8Q4n0sm_ZJCsf4UfEnKxk7HOGPy8VubSrLc/s/230362486/br/233116158433-l" TargetMode="External"/><Relationship Id="rId15" Type="http://schemas.openxmlformats.org/officeDocument/2006/relationships/hyperlink" Target="https://lnks.gd/l/eyJhbGciOiJIUzI1NiJ9.eyJidWxsZXRpbl9saW5rX2lkIjoxMTAsInVyaSI6ImJwMjpjbGljayIsInVybCI6Imh0dHBzOi8vd3d3LnNvcy5zdGF0ZS5tbi51cy9idXNpbmVzcy1saWVucy9idXNpbmVzcy1mb3Jtcy1mZWVzL2J1c2luZXNzLWZpbGluZy1jZXJ0aWZpY2F0aW9uLWZlZS1zY2hlZHVsZS8iLCJidWxsZXRpbl9pZCI6IjIwMjMxMjE0Ljg3MTYxMTAxIn0.VbdtNjoOpXU6n5VlAW3VjszFAdIcAIHvrmicyLDWiIA/s/230362486/br/233116158433-l" TargetMode="External"/><Relationship Id="rId10" Type="http://schemas.openxmlformats.org/officeDocument/2006/relationships/hyperlink" Target="https://lnks.gd/l/eyJhbGciOiJIUzI1NiJ9.eyJidWxsZXRpbl9saW5rX2lkIjoxMDUsInVyaSI6ImJwMjpjbGljayIsInVybCI6Imh0dHA6Ly93d3cuZmluY2VuLmdvdi9ib2kiLCJidWxsZXRpbl9pZCI6IjIwMjMxMjE0Ljg3MTYxMTAxIn0.3kq7SZBltJpF6GmlRISf9rMMcvWGVkL02BmLxUDnHuk/s/230362486/br/23311615843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nVybCI6Imh0dHBzOi8vd3d3LmZpbmNlbi5nb3YvYm9pL3NtYWxsLWVudGl0eS1jb21wbGlhbmNlLWd1aWRlIiwiYnVsbGV0aW5faWQiOiIyMDIzMTIxNC44NzE2MTEwMSJ9.kXJx8h394s-k_3SWKKh0vZa2B2nkQlFp7XWFkbDoqpg/s/230362486/br/233116158433-l" TargetMode="External"/><Relationship Id="rId14" Type="http://schemas.openxmlformats.org/officeDocument/2006/relationships/hyperlink" Target="https://lnks.gd/l/eyJhbGciOiJIUzI1NiJ9.eyJidWxsZXRpbl9saW5rX2lkIjoxMDksInVyaSI6ImJwMjpjbGljayIsInVybCI6Imh0dHBzOi8vd3d3LmZpbmNlbi5nb3YvY29udGFjdCIsImJ1bGxldGluX2lkIjoiMjAyMzEyMTQuODcxNjExMDEifQ.GxoE_4-SutdvhThcjhbml7LyRQFP-3t805mR1vmJ7X4/s/230362486/br/23311615843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Passe</dc:creator>
  <cp:keywords/>
  <dc:description/>
  <cp:lastModifiedBy>Steven Turvey</cp:lastModifiedBy>
  <cp:revision>2</cp:revision>
  <dcterms:created xsi:type="dcterms:W3CDTF">2023-12-19T18:13:00Z</dcterms:created>
  <dcterms:modified xsi:type="dcterms:W3CDTF">2023-12-19T18:13:00Z</dcterms:modified>
</cp:coreProperties>
</file>